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3326B3">
            <w:pPr>
              <w:pStyle w:val="20"/>
              <w:shd w:val="clear" w:color="auto" w:fill="auto"/>
              <w:spacing w:before="0"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вской области от 11.04.2016 № 234</w:t>
            </w:r>
            <w:r w:rsidR="003326B3" w:rsidRPr="003326B3">
              <w:rPr>
                <w:b w:val="0"/>
                <w:sz w:val="24"/>
                <w:szCs w:val="24"/>
              </w:rPr>
              <w:t xml:space="preserve"> «</w:t>
            </w:r>
            <w:r w:rsidR="006C5BCE" w:rsidRPr="006C5BCE">
              <w:rPr>
                <w:b w:val="0"/>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«Мелекесский район», границы которых учтены в государственном кадастре недвижимости и на которых</w:t>
            </w:r>
            <w:r w:rsidR="006C5BCE">
              <w:rPr>
                <w:b w:val="0"/>
                <w:sz w:val="24"/>
                <w:szCs w:val="24"/>
              </w:rPr>
              <w:t xml:space="preserve"> расположены здания, сооружения</w:t>
            </w:r>
            <w:r w:rsidR="003326B3" w:rsidRPr="003326B3">
              <w:rPr>
                <w:rStyle w:val="2"/>
                <w:bCs/>
                <w:color w:val="000000"/>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6C5BCE">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6C5BCE">
              <w:rPr>
                <w:rFonts w:ascii="Times New Roman" w:hAnsi="Times New Roman" w:cs="Times New Roman"/>
                <w:sz w:val="28"/>
                <w:szCs w:val="28"/>
              </w:rPr>
              <w:t>л</w:t>
            </w:r>
            <w:bookmarkStart w:id="0" w:name="_GoBack"/>
            <w:bookmarkEnd w:id="0"/>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F603F"/>
    <w:rsid w:val="009F1CC4"/>
    <w:rsid w:val="00AC2853"/>
    <w:rsid w:val="00B354C2"/>
    <w:rsid w:val="00C95177"/>
    <w:rsid w:val="00DD50CE"/>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13</cp:revision>
  <cp:lastPrinted>2015-07-16T09:08:00Z</cp:lastPrinted>
  <dcterms:created xsi:type="dcterms:W3CDTF">2015-07-14T11:57:00Z</dcterms:created>
  <dcterms:modified xsi:type="dcterms:W3CDTF">2018-07-05T05:35:00Z</dcterms:modified>
</cp:coreProperties>
</file>